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color w:val="000000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Sveučilište Josipa Jurja Strossmayera u Osijeku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Ekonomski fakultet u Osijeku</w:t>
      </w:r>
    </w:p>
    <w:p w:rsidR="00000000" w:rsidDel="00000000" w:rsidP="00000000" w:rsidRDefault="00000000" w:rsidRPr="00000000" w14:paraId="00000003">
      <w:pPr>
        <w:jc w:val="center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Centar za cjeloživotno učenje</w:t>
      </w:r>
    </w:p>
    <w:p w:rsidR="00000000" w:rsidDel="00000000" w:rsidP="00000000" w:rsidRDefault="00000000" w:rsidRPr="00000000" w14:paraId="00000004">
      <w:pPr>
        <w:jc w:val="center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objavljuje</w:t>
      </w:r>
    </w:p>
    <w:p w:rsidR="00000000" w:rsidDel="00000000" w:rsidP="00000000" w:rsidRDefault="00000000" w:rsidRPr="00000000" w14:paraId="00000006">
      <w:pPr>
        <w:jc w:val="center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center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JAVNI POZIV</w:t>
      </w:r>
    </w:p>
    <w:p w:rsidR="00000000" w:rsidDel="00000000" w:rsidP="00000000" w:rsidRDefault="00000000" w:rsidRPr="00000000" w14:paraId="0000000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center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za upis polaznika na programe cjeloživotnog učenja</w:t>
      </w:r>
    </w:p>
    <w:p w:rsidR="00000000" w:rsidDel="00000000" w:rsidP="00000000" w:rsidRDefault="00000000" w:rsidRPr="00000000" w14:paraId="0000000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center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center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56" w:lineRule="auto"/>
        <w:jc w:val="center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Organizacija rada i upravljanja ljudskim potencijalima </w:t>
      </w:r>
    </w:p>
    <w:p w:rsidR="00000000" w:rsidDel="00000000" w:rsidP="00000000" w:rsidRDefault="00000000" w:rsidRPr="00000000" w14:paraId="0000000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56" w:lineRule="auto"/>
        <w:jc w:val="center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Administrativni poslovi u upravljanju ljudskim potencijalima</w:t>
      </w:r>
    </w:p>
    <w:p w:rsidR="00000000" w:rsidDel="00000000" w:rsidP="00000000" w:rsidRDefault="00000000" w:rsidRPr="00000000" w14:paraId="0000000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56" w:lineRule="auto"/>
        <w:jc w:val="center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Brendiranje u upravljanju ljudskim potencijalima</w:t>
      </w:r>
    </w:p>
    <w:p w:rsidR="00000000" w:rsidDel="00000000" w:rsidP="00000000" w:rsidRDefault="00000000" w:rsidRPr="00000000" w14:paraId="0000000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56" w:lineRule="auto"/>
        <w:jc w:val="center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Zapošljavanje (planiranje, privlačenje i odabir zaposlenika)</w:t>
      </w:r>
    </w:p>
    <w:p w:rsidR="00000000" w:rsidDel="00000000" w:rsidP="00000000" w:rsidRDefault="00000000" w:rsidRPr="00000000" w14:paraId="0000000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56" w:lineRule="auto"/>
        <w:jc w:val="center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Razvoj zaposlenika, upravljanje znanjem i nasljeđivanjem</w:t>
      </w:r>
    </w:p>
    <w:p w:rsidR="00000000" w:rsidDel="00000000" w:rsidP="00000000" w:rsidRDefault="00000000" w:rsidRPr="00000000" w14:paraId="0000001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56" w:lineRule="auto"/>
        <w:jc w:val="center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Radni učinak zaposlenika</w:t>
      </w:r>
    </w:p>
    <w:p w:rsidR="00000000" w:rsidDel="00000000" w:rsidP="00000000" w:rsidRDefault="00000000" w:rsidRPr="00000000" w14:paraId="0000001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56" w:lineRule="auto"/>
        <w:jc w:val="center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Zadovoljstvo i angažiranost zaposlenika</w:t>
      </w:r>
    </w:p>
    <w:p w:rsidR="00000000" w:rsidDel="00000000" w:rsidP="00000000" w:rsidRDefault="00000000" w:rsidRPr="00000000" w14:paraId="0000001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56" w:lineRule="auto"/>
        <w:jc w:val="center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Kako mjeriti uspješnost procesa upravljanja ljudskim potencijalima?</w:t>
      </w:r>
    </w:p>
    <w:p w:rsidR="00000000" w:rsidDel="00000000" w:rsidP="00000000" w:rsidRDefault="00000000" w:rsidRPr="00000000" w14:paraId="00000013">
      <w:pPr>
        <w:spacing w:line="276" w:lineRule="auto"/>
        <w:jc w:val="center"/>
        <w:rPr>
          <w:rFonts w:ascii="Roboto" w:cs="Roboto" w:eastAsia="Roboto" w:hAnsi="Roboto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OPĆI UVJETI:</w:t>
      </w:r>
    </w:p>
    <w:p w:rsidR="00000000" w:rsidDel="00000000" w:rsidP="00000000" w:rsidRDefault="00000000" w:rsidRPr="00000000" w14:paraId="0000001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sz w:val="22"/>
          <w:szCs w:val="22"/>
          <w:rtl w:val="0"/>
        </w:rPr>
        <w:t xml:space="preserve">Upravljanje ljudskim potencijalima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 krovna je tema za osam nadopunjujućih programa cjeloživotnog učenja čiji je cilj stjecanje i unaprjeđivanje poslovnih i osobnih vještina i kompetencija. </w:t>
      </w:r>
    </w:p>
    <w:p w:rsidR="00000000" w:rsidDel="00000000" w:rsidP="00000000" w:rsidRDefault="00000000" w:rsidRPr="00000000" w14:paraId="0000001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Programi su osmišljeni kao zasebne cjeline kako bi se polaznicima omogućila fleksibilnost u stjecanju znanja i vještina iz odabranih, užih područja upravljanja ljudskim potencijalima s naglaskom na vođenje timova u IT tvrtkama. </w:t>
      </w:r>
    </w:p>
    <w:p w:rsidR="00000000" w:rsidDel="00000000" w:rsidP="00000000" w:rsidRDefault="00000000" w:rsidRPr="00000000" w14:paraId="0000001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Okvirni termini izvođenja nastave prikazani su u okviru ovog javnog poziva (pod Specifični uvjeti programa). Polaznici se mogu prijaviti na sve ili samo na odabrane programe. </w:t>
      </w:r>
    </w:p>
    <w:p w:rsidR="00000000" w:rsidDel="00000000" w:rsidP="00000000" w:rsidRDefault="00000000" w:rsidRPr="00000000" w14:paraId="0000001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Nakon svakog uspješno završenog programa, polaznici stječu potvrdu o završenom programu cjeloživotnog učenja. </w:t>
      </w:r>
    </w:p>
    <w:p w:rsidR="00000000" w:rsidDel="00000000" w:rsidP="00000000" w:rsidRDefault="00000000" w:rsidRPr="00000000" w14:paraId="0000001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Programe izvode stručnjaci u području Upravljanja ljudskim potencijalima, i to:</w:t>
      </w:r>
    </w:p>
    <w:p w:rsidR="00000000" w:rsidDel="00000000" w:rsidP="00000000" w:rsidRDefault="00000000" w:rsidRPr="00000000" w14:paraId="0000001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20" w:hanging="360"/>
        <w:jc w:val="both"/>
        <w:rPr>
          <w:rFonts w:ascii="Roboto" w:cs="Roboto" w:eastAsia="Roboto" w:hAnsi="Roboto"/>
          <w:color w:val="000000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color w:val="000000"/>
          <w:sz w:val="22"/>
          <w:szCs w:val="22"/>
          <w:rtl w:val="0"/>
        </w:rPr>
        <w:t xml:space="preserve">Marko Marincel, mag. psych.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20" w:hanging="360"/>
        <w:jc w:val="both"/>
        <w:rPr>
          <w:rFonts w:ascii="Roboto" w:cs="Roboto" w:eastAsia="Roboto" w:hAnsi="Roboto"/>
          <w:color w:val="000000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color w:val="000000"/>
          <w:sz w:val="22"/>
          <w:szCs w:val="22"/>
          <w:rtl w:val="0"/>
        </w:rPr>
        <w:t xml:space="preserve">Vedrana Mataja, mag. psych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20" w:hanging="360"/>
        <w:jc w:val="both"/>
        <w:rPr>
          <w:rFonts w:ascii="Roboto" w:cs="Roboto" w:eastAsia="Roboto" w:hAnsi="Roboto"/>
          <w:color w:val="000000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color w:val="000000"/>
          <w:sz w:val="22"/>
          <w:szCs w:val="22"/>
          <w:rtl w:val="0"/>
        </w:rPr>
        <w:t xml:space="preserve">Izv. prof. dr. sc. Marina Stanić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20" w:hanging="360"/>
        <w:jc w:val="both"/>
        <w:rPr>
          <w:rFonts w:ascii="Roboto" w:cs="Roboto" w:eastAsia="Roboto" w:hAnsi="Roboto"/>
          <w:color w:val="000000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color w:val="000000"/>
          <w:sz w:val="22"/>
          <w:szCs w:val="22"/>
          <w:rtl w:val="0"/>
        </w:rPr>
        <w:t xml:space="preserve">Luka Strišković, mag. iur. / LLM.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20" w:hanging="360"/>
        <w:jc w:val="both"/>
        <w:rPr>
          <w:rFonts w:ascii="Roboto" w:cs="Roboto" w:eastAsia="Roboto" w:hAnsi="Roboto"/>
          <w:color w:val="000000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color w:val="000000"/>
          <w:sz w:val="22"/>
          <w:szCs w:val="22"/>
          <w:rtl w:val="0"/>
        </w:rPr>
        <w:t xml:space="preserve">Prof. dr. sc. Željko Požega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20" w:hanging="360"/>
        <w:jc w:val="both"/>
        <w:rPr>
          <w:rFonts w:ascii="Roboto" w:cs="Roboto" w:eastAsia="Roboto" w:hAnsi="Roboto"/>
          <w:color w:val="000000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color w:val="000000"/>
          <w:sz w:val="22"/>
          <w:szCs w:val="22"/>
          <w:rtl w:val="0"/>
        </w:rPr>
        <w:t xml:space="preserve">Marko Todorović, mag. psych.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20" w:hanging="360"/>
        <w:jc w:val="both"/>
        <w:rPr>
          <w:rFonts w:ascii="Roboto" w:cs="Roboto" w:eastAsia="Roboto" w:hAnsi="Roboto"/>
          <w:color w:val="000000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color w:val="000000"/>
          <w:sz w:val="22"/>
          <w:szCs w:val="22"/>
          <w:rtl w:val="0"/>
        </w:rPr>
        <w:t xml:space="preserve">Doc. dr. sc. Ana Živković</w:t>
      </w:r>
    </w:p>
    <w:p w:rsidR="00000000" w:rsidDel="00000000" w:rsidP="00000000" w:rsidRDefault="00000000" w:rsidRPr="00000000" w14:paraId="0000002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Roboto" w:cs="Roboto" w:eastAsia="Roboto" w:hAnsi="Roboto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Roboto" w:cs="Roboto" w:eastAsia="Roboto" w:hAnsi="Roboto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Roboto" w:cs="Roboto" w:eastAsia="Roboto" w:hAnsi="Roboto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Pravo prijave programa cjeloživotnog učenja imaju pristupnici koji imaju minimalno završeno četverogodišnje srednjoškolsko obrazovanje (osobe s minimalno završenim 4.2. stupnjem obrazovanja (prema EKO i HKO; sva područja)).</w:t>
      </w:r>
    </w:p>
    <w:p w:rsidR="00000000" w:rsidDel="00000000" w:rsidP="00000000" w:rsidRDefault="00000000" w:rsidRPr="00000000" w14:paraId="0000002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Uz prijavu pristupnici obvezno prilažu: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720" w:hanging="360"/>
        <w:jc w:val="both"/>
        <w:rPr>
          <w:rFonts w:ascii="Roboto" w:cs="Roboto" w:eastAsia="Roboto" w:hAnsi="Roboto"/>
          <w:sz w:val="22"/>
          <w:szCs w:val="22"/>
          <w:u w:val="single"/>
        </w:rPr>
      </w:pPr>
      <w:hyperlink r:id="rId7">
        <w:r w:rsidDel="00000000" w:rsidR="00000000" w:rsidRPr="00000000">
          <w:rPr>
            <w:rFonts w:ascii="Roboto" w:cs="Roboto" w:eastAsia="Roboto" w:hAnsi="Roboto"/>
            <w:color w:val="0066a2"/>
            <w:sz w:val="22"/>
            <w:szCs w:val="22"/>
            <w:highlight w:val="white"/>
            <w:u w:val="single"/>
            <w:rtl w:val="0"/>
          </w:rPr>
          <w:t xml:space="preserve">Popunjeni obrazac prijave</w:t>
        </w:r>
      </w:hyperlink>
      <w:r w:rsidDel="00000000" w:rsidR="00000000" w:rsidRPr="00000000">
        <w:rPr>
          <w:rFonts w:ascii="Roboto" w:cs="Roboto" w:eastAsia="Roboto" w:hAnsi="Roboto"/>
          <w:color w:val="000000"/>
          <w:sz w:val="22"/>
          <w:szCs w:val="22"/>
          <w:rtl w:val="0"/>
        </w:rPr>
        <w:t xml:space="preserve"> (objavljen na mrežnim stranicama Ekonomskog fakulteta u Osijeku).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720" w:firstLine="0"/>
        <w:jc w:val="both"/>
        <w:rPr>
          <w:rFonts w:ascii="Roboto" w:cs="Roboto" w:eastAsia="Roboto" w:hAnsi="Roboto"/>
          <w:color w:val="0066a2"/>
          <w:sz w:val="22"/>
          <w:szCs w:val="22"/>
          <w:highlight w:val="white"/>
          <w:u w:val="single"/>
        </w:rPr>
      </w:pPr>
      <w:r w:rsidDel="00000000" w:rsidR="00000000" w:rsidRPr="00000000">
        <w:rPr>
          <w:rFonts w:ascii="Roboto" w:cs="Roboto" w:eastAsia="Roboto" w:hAnsi="Roboto"/>
          <w:color w:val="000000"/>
          <w:sz w:val="22"/>
          <w:szCs w:val="22"/>
          <w:rtl w:val="0"/>
        </w:rPr>
        <w:t xml:space="preserve">Obrascu je moguće pristupiti i putem poveznice: </w:t>
      </w:r>
      <w:hyperlink r:id="rId8">
        <w:r w:rsidDel="00000000" w:rsidR="00000000" w:rsidRPr="00000000">
          <w:rPr>
            <w:rFonts w:ascii="Roboto" w:cs="Roboto" w:eastAsia="Roboto" w:hAnsi="Roboto"/>
            <w:color w:val="0066a2"/>
            <w:sz w:val="22"/>
            <w:szCs w:val="22"/>
            <w:highlight w:val="white"/>
            <w:u w:val="single"/>
            <w:rtl w:val="0"/>
          </w:rPr>
          <w:t xml:space="preserve">https://forms.gle/NtPPAugWXVpSSWqBA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709" w:hanging="360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Presliku dokaza o stečenoj stručnoj spremi 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709" w:hanging="360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Presliku identifikacijske isprave 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709" w:hanging="360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Popunjen i potpisan obrazac </w:t>
      </w:r>
      <w:hyperlink r:id="rId9">
        <w:r w:rsidDel="00000000" w:rsidR="00000000" w:rsidRPr="00000000">
          <w:rPr>
            <w:rFonts w:ascii="Roboto" w:cs="Roboto" w:eastAsia="Roboto" w:hAnsi="Roboto"/>
            <w:color w:val="0066a2"/>
            <w:sz w:val="22"/>
            <w:szCs w:val="22"/>
            <w:highlight w:val="white"/>
            <w:u w:val="single"/>
            <w:rtl w:val="0"/>
          </w:rPr>
          <w:t xml:space="preserve">Privole za prikupljanje i obradu osobnih podataka</w:t>
        </w:r>
      </w:hyperlink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 objavljen na mrežnim stranicama Ekonomskog fakulteta u Osijeku i uz prijavni obrazac (točka 1.). Obrascu je moguće pristupiti i putem poveznice: </w:t>
      </w:r>
      <w:hyperlink r:id="rId10">
        <w:r w:rsidDel="00000000" w:rsidR="00000000" w:rsidRPr="00000000">
          <w:rPr>
            <w:rFonts w:ascii="Roboto" w:cs="Roboto" w:eastAsia="Roboto" w:hAnsi="Roboto"/>
            <w:color w:val="0066a2"/>
            <w:sz w:val="22"/>
            <w:szCs w:val="22"/>
            <w:highlight w:val="white"/>
            <w:u w:val="single"/>
            <w:rtl w:val="0"/>
          </w:rPr>
          <w:t xml:space="preserve">https://tinyurl.com/mr2mjb5e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720" w:firstLine="0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Roboto" w:cs="Roboto" w:eastAsia="Roboto" w:hAnsi="Roboto"/>
          <w:color w:val="ff0000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Na javni poziv se pod jednakim uvjetima mogu prijaviti osobe oba roda.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Nepravovremene i nepotpune prijave neće se razmatrati.</w:t>
      </w:r>
    </w:p>
    <w:p w:rsidR="00000000" w:rsidDel="00000000" w:rsidP="00000000" w:rsidRDefault="00000000" w:rsidRPr="00000000" w14:paraId="0000003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Roboto" w:cs="Roboto" w:eastAsia="Roboto" w:hAnsi="Roboto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Prijave s dokazima o ispunjavanju uvjeta  podnose se </w:t>
      </w: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do 30. rujna 2024. godine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 putem</w:t>
      </w:r>
      <w:r w:rsidDel="00000000" w:rsidR="00000000" w:rsidRPr="00000000">
        <w:rPr>
          <w:rFonts w:ascii="Roboto" w:cs="Roboto" w:eastAsia="Roboto" w:hAnsi="Roboto"/>
          <w:color w:val="333333"/>
          <w:sz w:val="22"/>
          <w:szCs w:val="22"/>
          <w:highlight w:val="white"/>
          <w:rtl w:val="0"/>
        </w:rPr>
        <w:t xml:space="preserve"> </w:t>
      </w:r>
      <w:hyperlink r:id="rId11">
        <w:r w:rsidDel="00000000" w:rsidR="00000000" w:rsidRPr="00000000">
          <w:rPr>
            <w:rFonts w:ascii="Roboto" w:cs="Roboto" w:eastAsia="Roboto" w:hAnsi="Roboto"/>
            <w:color w:val="0066a2"/>
            <w:sz w:val="22"/>
            <w:szCs w:val="22"/>
            <w:highlight w:val="white"/>
            <w:u w:val="single"/>
            <w:rtl w:val="0"/>
          </w:rPr>
          <w:t xml:space="preserve">obrasca za prijavu</w:t>
        </w:r>
      </w:hyperlink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 uz obvezno učitavanje dokumentacije i navođenje traženih podataka navedenih u okviru ovog javnog poziva u obrazac prijave. </w:t>
      </w:r>
    </w:p>
    <w:p w:rsidR="00000000" w:rsidDel="00000000" w:rsidP="00000000" w:rsidRDefault="00000000" w:rsidRPr="00000000" w14:paraId="0000003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Pristupnicima prijavljenim na javni poziv smatrat će se samo osoba koja podnese pravovremenu i potpunu prijavu te ispunjava formalne uvjete iz javnog poziva.</w:t>
      </w:r>
    </w:p>
    <w:p w:rsidR="00000000" w:rsidDel="00000000" w:rsidP="00000000" w:rsidRDefault="00000000" w:rsidRPr="00000000" w14:paraId="0000003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Potpunom prijavom smatra se prijava koja sadrži sve podatke i priloge navedene u ovom pozivu.  </w:t>
      </w:r>
    </w:p>
    <w:p w:rsidR="00000000" w:rsidDel="00000000" w:rsidP="00000000" w:rsidRDefault="00000000" w:rsidRPr="00000000" w14:paraId="0000003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Roboto" w:cs="Roboto" w:eastAsia="Roboto" w:hAnsi="Roboto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SPECIFIČNI UVJETI PROGRAMA:</w:t>
      </w:r>
      <w:r w:rsidDel="00000000" w:rsidR="00000000" w:rsidRPr="00000000">
        <w:rPr>
          <w:rtl w:val="0"/>
        </w:rPr>
      </w:r>
    </w:p>
    <w:tbl>
      <w:tblPr>
        <w:tblStyle w:val="Table1"/>
        <w:tblW w:w="9629.0" w:type="dxa"/>
        <w:jc w:val="center"/>
        <w:tblBorders>
          <w:top w:color="b6d7e9" w:space="0" w:sz="4" w:val="single"/>
          <w:left w:color="b6d7e9" w:space="0" w:sz="4" w:val="single"/>
          <w:bottom w:color="b6d7e9" w:space="0" w:sz="4" w:val="single"/>
          <w:right w:color="b6d7e9" w:space="0" w:sz="4" w:val="single"/>
          <w:insideH w:color="b6d7e9" w:space="0" w:sz="4" w:val="single"/>
          <w:insideV w:color="b6d7e9" w:space="0" w:sz="4" w:val="single"/>
        </w:tblBorders>
        <w:tblLayout w:type="fixed"/>
        <w:tblLook w:val="0400"/>
      </w:tblPr>
      <w:tblGrid>
        <w:gridCol w:w="329"/>
        <w:gridCol w:w="5084"/>
        <w:gridCol w:w="1096"/>
        <w:gridCol w:w="1560"/>
        <w:gridCol w:w="1560"/>
        <w:tblGridChange w:id="0">
          <w:tblGrid>
            <w:gridCol w:w="329"/>
            <w:gridCol w:w="5084"/>
            <w:gridCol w:w="1096"/>
            <w:gridCol w:w="1560"/>
            <w:gridCol w:w="1560"/>
          </w:tblGrid>
        </w:tblGridChange>
      </w:tblGrid>
      <w:tr>
        <w:trPr>
          <w:cantSplit w:val="0"/>
          <w:trHeight w:val="1142" w:hRule="atLeast"/>
          <w:tblHeader w:val="0"/>
        </w:trPr>
        <w:tc>
          <w:tcPr>
            <w:gridSpan w:val="2"/>
            <w:tcBorders>
              <w:top w:color="b6d7e9" w:space="0" w:sz="4" w:val="single"/>
              <w:left w:color="b6d7e9" w:space="0" w:sz="4" w:val="single"/>
              <w:bottom w:color="b6d7e9" w:space="0" w:sz="4" w:val="single"/>
              <w:right w:color="b6d7e9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16" w:lineRule="auto"/>
              <w:jc w:val="center"/>
              <w:rPr>
                <w:rFonts w:ascii="Roboto" w:cs="Roboto" w:eastAsia="Roboto" w:hAnsi="Roboto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color w:val="000000"/>
                <w:sz w:val="20"/>
                <w:szCs w:val="20"/>
                <w:rtl w:val="0"/>
              </w:rPr>
              <w:t xml:space="preserve">Naziv nastavne cjeline</w:t>
            </w:r>
          </w:p>
        </w:tc>
        <w:tc>
          <w:tcPr>
            <w:tcBorders>
              <w:top w:color="b6d7e9" w:space="0" w:sz="4" w:val="single"/>
              <w:left w:color="b6d7e9" w:space="0" w:sz="4" w:val="single"/>
              <w:bottom w:color="b6d7e9" w:space="0" w:sz="4" w:val="single"/>
              <w:right w:color="b6d7e9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168" w:lineRule="auto"/>
              <w:ind w:left="113" w:right="113" w:firstLine="0"/>
              <w:jc w:val="center"/>
              <w:rPr>
                <w:rFonts w:ascii="Roboto" w:cs="Roboto" w:eastAsia="Roboto" w:hAnsi="Roboto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color w:val="000000"/>
                <w:sz w:val="20"/>
                <w:szCs w:val="20"/>
                <w:rtl w:val="0"/>
              </w:rPr>
              <w:t xml:space="preserve">Ukupan</w:t>
            </w:r>
          </w:p>
          <w:p w:rsidR="00000000" w:rsidDel="00000000" w:rsidP="00000000" w:rsidRDefault="00000000" w:rsidRPr="00000000" w14:paraId="0000003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168" w:lineRule="auto"/>
              <w:ind w:left="113" w:right="113" w:firstLine="0"/>
              <w:jc w:val="center"/>
              <w:rPr>
                <w:rFonts w:ascii="Roboto" w:cs="Roboto" w:eastAsia="Roboto" w:hAnsi="Roboto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color w:val="000000"/>
                <w:sz w:val="20"/>
                <w:szCs w:val="20"/>
                <w:rtl w:val="0"/>
              </w:rPr>
              <w:t xml:space="preserve">broj sati</w:t>
            </w:r>
          </w:p>
        </w:tc>
        <w:tc>
          <w:tcPr>
            <w:tcBorders>
              <w:top w:color="b6d7e9" w:space="0" w:sz="4" w:val="single"/>
              <w:left w:color="b6d7e9" w:space="0" w:sz="4" w:val="single"/>
              <w:bottom w:color="b6d7e9" w:space="0" w:sz="4" w:val="single"/>
              <w:right w:color="b6d7e9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16" w:lineRule="auto"/>
              <w:jc w:val="center"/>
              <w:rPr>
                <w:rFonts w:ascii="Roboto" w:cs="Roboto" w:eastAsia="Roboto" w:hAnsi="Roboto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color w:val="000000"/>
                <w:sz w:val="20"/>
                <w:szCs w:val="20"/>
                <w:rtl w:val="0"/>
              </w:rPr>
              <w:t xml:space="preserve">Cijena</w:t>
            </w:r>
          </w:p>
        </w:tc>
        <w:tc>
          <w:tcPr>
            <w:tcBorders>
              <w:top w:color="b6d7e9" w:space="0" w:sz="4" w:val="single"/>
              <w:left w:color="b6d7e9" w:space="0" w:sz="4" w:val="single"/>
              <w:bottom w:color="b6d7e9" w:space="0" w:sz="4" w:val="single"/>
              <w:right w:color="b6d7e9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16" w:lineRule="auto"/>
              <w:jc w:val="center"/>
              <w:rPr>
                <w:rFonts w:ascii="Roboto" w:cs="Roboto" w:eastAsia="Roboto" w:hAnsi="Roboto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color w:val="000000"/>
                <w:sz w:val="20"/>
                <w:szCs w:val="20"/>
                <w:rtl w:val="0"/>
              </w:rPr>
              <w:t xml:space="preserve">Okvirni raspored početka izvođenja nastave</w:t>
            </w:r>
          </w:p>
        </w:tc>
      </w:tr>
      <w:tr>
        <w:trPr>
          <w:cantSplit w:val="0"/>
          <w:trHeight w:val="709" w:hRule="atLeast"/>
          <w:tblHeader w:val="0"/>
        </w:trPr>
        <w:tc>
          <w:tcPr>
            <w:tcBorders>
              <w:top w:color="b6d7e9" w:space="0" w:sz="4" w:val="single"/>
              <w:left w:color="b6d7e9" w:space="0" w:sz="4" w:val="single"/>
              <w:bottom w:color="b6d7e9" w:space="0" w:sz="4" w:val="single"/>
              <w:right w:color="b6d7e9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16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b6d7e9" w:space="0" w:sz="4" w:val="single"/>
              <w:left w:color="b6d7e9" w:space="0" w:sz="4" w:val="single"/>
              <w:bottom w:color="b6d7e9" w:space="0" w:sz="4" w:val="single"/>
              <w:right w:color="b6d7e9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Organizacija rada i upravljanja ljudskim potencijalima</w:t>
            </w:r>
          </w:p>
        </w:tc>
        <w:tc>
          <w:tcPr>
            <w:tcBorders>
              <w:top w:color="b6d7e9" w:space="0" w:sz="4" w:val="single"/>
              <w:left w:color="b6d7e9" w:space="0" w:sz="4" w:val="single"/>
              <w:bottom w:color="b6d7e9" w:space="0" w:sz="4" w:val="single"/>
              <w:right w:color="b6d7e9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16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b6d7e9" w:space="0" w:sz="4" w:val="single"/>
              <w:left w:color="b6d7e9" w:space="0" w:sz="4" w:val="single"/>
              <w:bottom w:color="b6d7e9" w:space="0" w:sz="4" w:val="single"/>
              <w:right w:color="b6d7e9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16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146,OO EUR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6d7e9" w:space="0" w:sz="4" w:val="single"/>
              <w:left w:color="b6d7e9" w:space="0" w:sz="4" w:val="single"/>
              <w:bottom w:color="b6d7e9" w:space="0" w:sz="4" w:val="single"/>
              <w:right w:color="b6d7e9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16" w:lineRule="auto"/>
              <w:jc w:val="center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listopad 2024.</w:t>
            </w:r>
          </w:p>
        </w:tc>
      </w:tr>
      <w:tr>
        <w:trPr>
          <w:cantSplit w:val="0"/>
          <w:trHeight w:val="709" w:hRule="atLeast"/>
          <w:tblHeader w:val="0"/>
        </w:trPr>
        <w:tc>
          <w:tcPr>
            <w:tcBorders>
              <w:top w:color="b6d7e9" w:space="0" w:sz="4" w:val="single"/>
              <w:left w:color="b6d7e9" w:space="0" w:sz="4" w:val="single"/>
              <w:bottom w:color="b6d7e9" w:space="0" w:sz="4" w:val="single"/>
              <w:right w:color="b6d7e9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16" w:lineRule="auto"/>
              <w:jc w:val="center"/>
              <w:rPr>
                <w:rFonts w:ascii="Roboto" w:cs="Roboto" w:eastAsia="Roboto" w:hAnsi="Robot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b6d7e9" w:space="0" w:sz="4" w:val="single"/>
              <w:left w:color="b6d7e9" w:space="0" w:sz="4" w:val="single"/>
              <w:bottom w:color="b6d7e9" w:space="0" w:sz="4" w:val="single"/>
              <w:right w:color="b6d7e9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Administrativni poslovi u upravljanju ljudskim potencijalima</w:t>
            </w:r>
          </w:p>
        </w:tc>
        <w:tc>
          <w:tcPr>
            <w:tcBorders>
              <w:top w:color="b6d7e9" w:space="0" w:sz="4" w:val="single"/>
              <w:left w:color="b6d7e9" w:space="0" w:sz="4" w:val="single"/>
              <w:bottom w:color="b6d7e9" w:space="0" w:sz="4" w:val="single"/>
              <w:right w:color="b6d7e9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16" w:lineRule="auto"/>
              <w:jc w:val="center"/>
              <w:rPr>
                <w:rFonts w:ascii="Roboto" w:cs="Roboto" w:eastAsia="Roboto" w:hAnsi="Robot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b6d7e9" w:space="0" w:sz="4" w:val="single"/>
              <w:left w:color="b6d7e9" w:space="0" w:sz="4" w:val="single"/>
              <w:bottom w:color="b6d7e9" w:space="0" w:sz="4" w:val="single"/>
              <w:right w:color="b6d7e9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16" w:lineRule="auto"/>
              <w:jc w:val="center"/>
              <w:rPr>
                <w:rFonts w:ascii="Roboto" w:cs="Roboto" w:eastAsia="Roboto" w:hAnsi="Robot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146,OO EUR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6d7e9" w:space="0" w:sz="4" w:val="single"/>
              <w:left w:color="b6d7e9" w:space="0" w:sz="4" w:val="single"/>
              <w:bottom w:color="b6d7e9" w:space="0" w:sz="4" w:val="single"/>
              <w:right w:color="b6d7e9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16" w:lineRule="auto"/>
              <w:jc w:val="center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listopad 2024.</w:t>
            </w:r>
          </w:p>
        </w:tc>
      </w:tr>
      <w:tr>
        <w:trPr>
          <w:cantSplit w:val="0"/>
          <w:trHeight w:val="709" w:hRule="atLeast"/>
          <w:tblHeader w:val="0"/>
        </w:trPr>
        <w:tc>
          <w:tcPr>
            <w:tcBorders>
              <w:top w:color="b6d7e9" w:space="0" w:sz="4" w:val="single"/>
              <w:left w:color="b6d7e9" w:space="0" w:sz="4" w:val="single"/>
              <w:bottom w:color="b6d7e9" w:space="0" w:sz="4" w:val="single"/>
              <w:right w:color="b6d7e9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16" w:lineRule="auto"/>
              <w:jc w:val="center"/>
              <w:rPr>
                <w:rFonts w:ascii="Roboto" w:cs="Roboto" w:eastAsia="Roboto" w:hAnsi="Robot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b6d7e9" w:space="0" w:sz="4" w:val="single"/>
              <w:left w:color="b6d7e9" w:space="0" w:sz="4" w:val="single"/>
              <w:bottom w:color="b6d7e9" w:space="0" w:sz="4" w:val="single"/>
              <w:right w:color="b6d7e9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Brendiranje u upravljanju ljudskim potencijalima</w:t>
            </w:r>
          </w:p>
        </w:tc>
        <w:tc>
          <w:tcPr>
            <w:tcBorders>
              <w:top w:color="b6d7e9" w:space="0" w:sz="4" w:val="single"/>
              <w:left w:color="b6d7e9" w:space="0" w:sz="4" w:val="single"/>
              <w:bottom w:color="b6d7e9" w:space="0" w:sz="4" w:val="single"/>
              <w:right w:color="b6d7e9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16" w:lineRule="auto"/>
              <w:jc w:val="center"/>
              <w:rPr>
                <w:rFonts w:ascii="Roboto" w:cs="Roboto" w:eastAsia="Roboto" w:hAnsi="Robot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b6d7e9" w:space="0" w:sz="4" w:val="single"/>
              <w:left w:color="b6d7e9" w:space="0" w:sz="4" w:val="single"/>
              <w:bottom w:color="b6d7e9" w:space="0" w:sz="4" w:val="single"/>
              <w:right w:color="b6d7e9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16" w:lineRule="auto"/>
              <w:jc w:val="center"/>
              <w:rPr>
                <w:rFonts w:ascii="Roboto" w:cs="Roboto" w:eastAsia="Roboto" w:hAnsi="Robot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146,OO EUR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6d7e9" w:space="0" w:sz="4" w:val="single"/>
              <w:left w:color="b6d7e9" w:space="0" w:sz="4" w:val="single"/>
              <w:bottom w:color="b6d7e9" w:space="0" w:sz="4" w:val="single"/>
              <w:right w:color="b6d7e9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16" w:lineRule="auto"/>
              <w:jc w:val="center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listopad 2024.</w:t>
            </w:r>
          </w:p>
        </w:tc>
      </w:tr>
      <w:tr>
        <w:trPr>
          <w:cantSplit w:val="0"/>
          <w:trHeight w:val="709" w:hRule="atLeast"/>
          <w:tblHeader w:val="0"/>
        </w:trPr>
        <w:tc>
          <w:tcPr>
            <w:tcBorders>
              <w:top w:color="b6d7e9" w:space="0" w:sz="4" w:val="single"/>
              <w:left w:color="b6d7e9" w:space="0" w:sz="4" w:val="single"/>
              <w:bottom w:color="b6d7e9" w:space="0" w:sz="4" w:val="single"/>
              <w:right w:color="b6d7e9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16" w:lineRule="auto"/>
              <w:jc w:val="center"/>
              <w:rPr>
                <w:rFonts w:ascii="Roboto" w:cs="Roboto" w:eastAsia="Roboto" w:hAnsi="Robot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b6d7e9" w:space="0" w:sz="4" w:val="single"/>
              <w:left w:color="b6d7e9" w:space="0" w:sz="4" w:val="single"/>
              <w:bottom w:color="b6d7e9" w:space="0" w:sz="4" w:val="single"/>
              <w:right w:color="b6d7e9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Zapošljavanje (planiranje, privlačenje i odabir zaposlenika)  </w:t>
            </w:r>
          </w:p>
        </w:tc>
        <w:tc>
          <w:tcPr>
            <w:tcBorders>
              <w:top w:color="b6d7e9" w:space="0" w:sz="4" w:val="single"/>
              <w:left w:color="b6d7e9" w:space="0" w:sz="4" w:val="single"/>
              <w:bottom w:color="b6d7e9" w:space="0" w:sz="4" w:val="single"/>
              <w:right w:color="b6d7e9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16" w:lineRule="auto"/>
              <w:jc w:val="center"/>
              <w:rPr>
                <w:rFonts w:ascii="Roboto" w:cs="Roboto" w:eastAsia="Roboto" w:hAnsi="Robot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b6d7e9" w:space="0" w:sz="4" w:val="single"/>
              <w:left w:color="b6d7e9" w:space="0" w:sz="4" w:val="single"/>
              <w:bottom w:color="b6d7e9" w:space="0" w:sz="4" w:val="single"/>
              <w:right w:color="b6d7e9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16" w:lineRule="auto"/>
              <w:jc w:val="center"/>
              <w:rPr>
                <w:rFonts w:ascii="Roboto" w:cs="Roboto" w:eastAsia="Roboto" w:hAnsi="Robot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146,OO EUR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6d7e9" w:space="0" w:sz="4" w:val="single"/>
              <w:left w:color="b6d7e9" w:space="0" w:sz="4" w:val="single"/>
              <w:bottom w:color="b6d7e9" w:space="0" w:sz="4" w:val="single"/>
              <w:right w:color="b6d7e9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16" w:lineRule="auto"/>
              <w:jc w:val="left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listopad 2024.</w:t>
            </w:r>
          </w:p>
        </w:tc>
      </w:tr>
      <w:tr>
        <w:trPr>
          <w:cantSplit w:val="0"/>
          <w:trHeight w:val="709" w:hRule="atLeast"/>
          <w:tblHeader w:val="0"/>
        </w:trPr>
        <w:tc>
          <w:tcPr>
            <w:tcBorders>
              <w:top w:color="b6d7e9" w:space="0" w:sz="4" w:val="single"/>
              <w:left w:color="b6d7e9" w:space="0" w:sz="4" w:val="single"/>
              <w:bottom w:color="b6d7e9" w:space="0" w:sz="4" w:val="single"/>
              <w:right w:color="b6d7e9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16" w:lineRule="auto"/>
              <w:jc w:val="center"/>
              <w:rPr>
                <w:rFonts w:ascii="Roboto" w:cs="Roboto" w:eastAsia="Roboto" w:hAnsi="Robot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b6d7e9" w:space="0" w:sz="4" w:val="single"/>
              <w:left w:color="b6d7e9" w:space="0" w:sz="4" w:val="single"/>
              <w:bottom w:color="b6d7e9" w:space="0" w:sz="4" w:val="single"/>
              <w:right w:color="b6d7e9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Razvoj zaposlenika, upravljanje znanjem i nasljeđivanjem</w:t>
            </w:r>
          </w:p>
        </w:tc>
        <w:tc>
          <w:tcPr>
            <w:tcBorders>
              <w:top w:color="b6d7e9" w:space="0" w:sz="4" w:val="single"/>
              <w:left w:color="b6d7e9" w:space="0" w:sz="4" w:val="single"/>
              <w:bottom w:color="b6d7e9" w:space="0" w:sz="4" w:val="single"/>
              <w:right w:color="b6d7e9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16" w:lineRule="auto"/>
              <w:jc w:val="center"/>
              <w:rPr>
                <w:rFonts w:ascii="Roboto" w:cs="Roboto" w:eastAsia="Roboto" w:hAnsi="Robot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b6d7e9" w:space="0" w:sz="4" w:val="single"/>
              <w:left w:color="b6d7e9" w:space="0" w:sz="4" w:val="single"/>
              <w:bottom w:color="b6d7e9" w:space="0" w:sz="4" w:val="single"/>
              <w:right w:color="b6d7e9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16" w:lineRule="auto"/>
              <w:jc w:val="center"/>
              <w:rPr>
                <w:rFonts w:ascii="Roboto" w:cs="Roboto" w:eastAsia="Roboto" w:hAnsi="Robot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146,OO EUR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6d7e9" w:space="0" w:sz="4" w:val="single"/>
              <w:left w:color="b6d7e9" w:space="0" w:sz="4" w:val="single"/>
              <w:bottom w:color="b6d7e9" w:space="0" w:sz="4" w:val="single"/>
              <w:right w:color="b6d7e9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16" w:lineRule="auto"/>
              <w:jc w:val="center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studeni 2024.</w:t>
            </w:r>
          </w:p>
        </w:tc>
      </w:tr>
      <w:tr>
        <w:trPr>
          <w:cantSplit w:val="0"/>
          <w:trHeight w:val="709" w:hRule="atLeast"/>
          <w:tblHeader w:val="0"/>
        </w:trPr>
        <w:tc>
          <w:tcPr>
            <w:tcBorders>
              <w:top w:color="b6d7e9" w:space="0" w:sz="4" w:val="single"/>
              <w:left w:color="b6d7e9" w:space="0" w:sz="4" w:val="single"/>
              <w:bottom w:color="b6d7e9" w:space="0" w:sz="4" w:val="single"/>
              <w:right w:color="b6d7e9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16" w:lineRule="auto"/>
              <w:jc w:val="center"/>
              <w:rPr>
                <w:rFonts w:ascii="Roboto" w:cs="Roboto" w:eastAsia="Roboto" w:hAnsi="Robot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b6d7e9" w:space="0" w:sz="4" w:val="single"/>
              <w:left w:color="b6d7e9" w:space="0" w:sz="4" w:val="single"/>
              <w:bottom w:color="b6d7e9" w:space="0" w:sz="4" w:val="single"/>
              <w:right w:color="b6d7e9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Radni učinak zaposlenika</w:t>
            </w:r>
          </w:p>
        </w:tc>
        <w:tc>
          <w:tcPr>
            <w:tcBorders>
              <w:top w:color="b6d7e9" w:space="0" w:sz="4" w:val="single"/>
              <w:left w:color="b6d7e9" w:space="0" w:sz="4" w:val="single"/>
              <w:bottom w:color="b6d7e9" w:space="0" w:sz="4" w:val="single"/>
              <w:right w:color="b6d7e9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16" w:lineRule="auto"/>
              <w:jc w:val="center"/>
              <w:rPr>
                <w:rFonts w:ascii="Roboto" w:cs="Roboto" w:eastAsia="Roboto" w:hAnsi="Robot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b6d7e9" w:space="0" w:sz="4" w:val="single"/>
              <w:left w:color="b6d7e9" w:space="0" w:sz="4" w:val="single"/>
              <w:bottom w:color="b6d7e9" w:space="0" w:sz="4" w:val="single"/>
              <w:right w:color="b6d7e9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16" w:lineRule="auto"/>
              <w:jc w:val="center"/>
              <w:rPr>
                <w:rFonts w:ascii="Roboto" w:cs="Roboto" w:eastAsia="Roboto" w:hAnsi="Robot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212,36 EUR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6d7e9" w:space="0" w:sz="4" w:val="single"/>
              <w:left w:color="b6d7e9" w:space="0" w:sz="4" w:val="single"/>
              <w:bottom w:color="b6d7e9" w:space="0" w:sz="4" w:val="single"/>
              <w:right w:color="b6d7e9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16" w:lineRule="auto"/>
              <w:jc w:val="center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studeni 2024.</w:t>
            </w:r>
          </w:p>
        </w:tc>
      </w:tr>
      <w:tr>
        <w:trPr>
          <w:cantSplit w:val="0"/>
          <w:trHeight w:val="709" w:hRule="atLeast"/>
          <w:tblHeader w:val="0"/>
        </w:trPr>
        <w:tc>
          <w:tcPr>
            <w:tcBorders>
              <w:top w:color="b6d7e9" w:space="0" w:sz="4" w:val="single"/>
              <w:left w:color="b6d7e9" w:space="0" w:sz="4" w:val="single"/>
              <w:bottom w:color="b6d7e9" w:space="0" w:sz="4" w:val="single"/>
              <w:right w:color="b6d7e9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16" w:lineRule="auto"/>
              <w:jc w:val="center"/>
              <w:rPr>
                <w:rFonts w:ascii="Roboto" w:cs="Roboto" w:eastAsia="Roboto" w:hAnsi="Robot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b6d7e9" w:space="0" w:sz="4" w:val="single"/>
              <w:left w:color="b6d7e9" w:space="0" w:sz="4" w:val="single"/>
              <w:bottom w:color="b6d7e9" w:space="0" w:sz="4" w:val="single"/>
              <w:right w:color="b6d7e9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right="-255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Zadovoljstvo i angažiranost zaposlenika</w:t>
            </w:r>
          </w:p>
        </w:tc>
        <w:tc>
          <w:tcPr>
            <w:tcBorders>
              <w:top w:color="b6d7e9" w:space="0" w:sz="4" w:val="single"/>
              <w:left w:color="b6d7e9" w:space="0" w:sz="4" w:val="single"/>
              <w:bottom w:color="b6d7e9" w:space="0" w:sz="4" w:val="single"/>
              <w:right w:color="b6d7e9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16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b6d7e9" w:space="0" w:sz="4" w:val="single"/>
              <w:left w:color="b6d7e9" w:space="0" w:sz="4" w:val="single"/>
              <w:bottom w:color="b6d7e9" w:space="0" w:sz="4" w:val="single"/>
              <w:right w:color="b6d7e9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16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146,OO EUR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6d7e9" w:space="0" w:sz="4" w:val="single"/>
              <w:left w:color="b6d7e9" w:space="0" w:sz="4" w:val="single"/>
              <w:bottom w:color="b6d7e9" w:space="0" w:sz="4" w:val="single"/>
              <w:right w:color="b6d7e9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16" w:lineRule="auto"/>
              <w:jc w:val="center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studeni 2024.</w:t>
            </w:r>
          </w:p>
        </w:tc>
      </w:tr>
      <w:tr>
        <w:trPr>
          <w:cantSplit w:val="0"/>
          <w:trHeight w:val="932" w:hRule="atLeast"/>
          <w:tblHeader w:val="0"/>
        </w:trPr>
        <w:tc>
          <w:tcPr>
            <w:tcBorders>
              <w:top w:color="b6d7e9" w:space="0" w:sz="4" w:val="single"/>
              <w:left w:color="b6d7e9" w:space="0" w:sz="4" w:val="single"/>
              <w:bottom w:color="b6d7e9" w:space="0" w:sz="4" w:val="single"/>
              <w:right w:color="b6d7e9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16" w:lineRule="auto"/>
              <w:jc w:val="center"/>
              <w:rPr>
                <w:rFonts w:ascii="Roboto" w:cs="Roboto" w:eastAsia="Roboto" w:hAnsi="Robot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b6d7e9" w:space="0" w:sz="4" w:val="single"/>
              <w:left w:color="b6d7e9" w:space="0" w:sz="4" w:val="single"/>
              <w:bottom w:color="b6d7e9" w:space="0" w:sz="4" w:val="single"/>
              <w:right w:color="b6d7e9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Kako mjeriti uspješnost procesa i praksi upravljanja ljudskim potencijalima?</w:t>
            </w:r>
          </w:p>
        </w:tc>
        <w:tc>
          <w:tcPr>
            <w:tcBorders>
              <w:top w:color="b6d7e9" w:space="0" w:sz="4" w:val="single"/>
              <w:left w:color="b6d7e9" w:space="0" w:sz="4" w:val="single"/>
              <w:bottom w:color="b6d7e9" w:space="0" w:sz="4" w:val="single"/>
              <w:right w:color="b6d7e9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16" w:lineRule="auto"/>
              <w:jc w:val="center"/>
              <w:rPr>
                <w:rFonts w:ascii="Roboto" w:cs="Roboto" w:eastAsia="Roboto" w:hAnsi="Robot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b6d7e9" w:space="0" w:sz="4" w:val="single"/>
              <w:left w:color="b6d7e9" w:space="0" w:sz="4" w:val="single"/>
              <w:bottom w:color="b6d7e9" w:space="0" w:sz="4" w:val="single"/>
              <w:right w:color="b6d7e9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16" w:lineRule="auto"/>
              <w:jc w:val="center"/>
              <w:rPr>
                <w:rFonts w:ascii="Roboto" w:cs="Roboto" w:eastAsia="Roboto" w:hAnsi="Robot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146,OO EUR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6d7e9" w:space="0" w:sz="4" w:val="single"/>
              <w:left w:color="b6d7e9" w:space="0" w:sz="4" w:val="single"/>
              <w:bottom w:color="b6d7e9" w:space="0" w:sz="4" w:val="single"/>
              <w:right w:color="b6d7e9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16" w:lineRule="auto"/>
              <w:jc w:val="center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studeni 2024.</w:t>
            </w:r>
          </w:p>
        </w:tc>
      </w:tr>
    </w:tbl>
    <w:p w:rsidR="00000000" w:rsidDel="00000000" w:rsidP="00000000" w:rsidRDefault="00000000" w:rsidRPr="00000000" w14:paraId="0000006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Roboto" w:cs="Roboto" w:eastAsia="Roboto" w:hAnsi="Roboto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Roboto" w:cs="Roboto" w:eastAsia="Roboto" w:hAnsi="Roboto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Dodatne obavijesti pristupnici mogu zatražiti putem </w:t>
      </w:r>
      <w:hyperlink r:id="rId12">
        <w:r w:rsidDel="00000000" w:rsidR="00000000" w:rsidRPr="00000000">
          <w:rPr>
            <w:rFonts w:ascii="Roboto" w:cs="Roboto" w:eastAsia="Roboto" w:hAnsi="Roboto"/>
            <w:color w:val="0066a2"/>
            <w:sz w:val="22"/>
            <w:szCs w:val="22"/>
            <w:highlight w:val="white"/>
            <w:u w:val="single"/>
            <w:rtl w:val="0"/>
          </w:rPr>
          <w:t xml:space="preserve">web stranice Ekonomskog fakulteta u Osijeku</w:t>
        </w:r>
      </w:hyperlink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 (poveznica: </w:t>
      </w:r>
      <w:hyperlink r:id="rId13">
        <w:r w:rsidDel="00000000" w:rsidR="00000000" w:rsidRPr="00000000">
          <w:rPr>
            <w:rFonts w:ascii="Roboto" w:cs="Roboto" w:eastAsia="Roboto" w:hAnsi="Roboto"/>
            <w:color w:val="0000ff"/>
            <w:sz w:val="22"/>
            <w:szCs w:val="22"/>
            <w:highlight w:val="white"/>
            <w:u w:val="single"/>
            <w:rtl w:val="0"/>
          </w:rPr>
          <w:t xml:space="preserve">https://rb.gy/t5xspv</w:t>
        </w:r>
      </w:hyperlink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), od voditeljice programa cjeloživotnog učenja ili u Centru za cjeloživotno učenje:</w:t>
      </w:r>
    </w:p>
    <w:p w:rsidR="00000000" w:rsidDel="00000000" w:rsidP="00000000" w:rsidRDefault="00000000" w:rsidRPr="00000000" w14:paraId="0000006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Voditeljica programa cjeloživotnog učenja:</w:t>
      </w:r>
    </w:p>
    <w:p w:rsidR="00000000" w:rsidDel="00000000" w:rsidP="00000000" w:rsidRDefault="00000000" w:rsidRPr="00000000" w14:paraId="0000006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Doc. dr. sc. Ana Živković</w:t>
      </w:r>
    </w:p>
    <w:p w:rsidR="00000000" w:rsidDel="00000000" w:rsidP="00000000" w:rsidRDefault="00000000" w:rsidRPr="00000000" w14:paraId="0000006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e-mail:  </w:t>
      </w:r>
      <w:hyperlink r:id="rId14">
        <w:r w:rsidDel="00000000" w:rsidR="00000000" w:rsidRPr="00000000">
          <w:rPr>
            <w:rFonts w:ascii="Roboto" w:cs="Roboto" w:eastAsia="Roboto" w:hAnsi="Roboto"/>
            <w:color w:val="0000ff"/>
            <w:sz w:val="22"/>
            <w:szCs w:val="22"/>
            <w:u w:val="single"/>
            <w:rtl w:val="0"/>
          </w:rPr>
          <w:t xml:space="preserve">ana.zivkovic@efos.hr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Tel: + 385 (0)31 224 491</w:t>
      </w:r>
    </w:p>
    <w:p w:rsidR="00000000" w:rsidDel="00000000" w:rsidP="00000000" w:rsidRDefault="00000000" w:rsidRPr="00000000" w14:paraId="0000006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Centar za cjeloživotno učenje:</w:t>
      </w:r>
    </w:p>
    <w:p w:rsidR="00000000" w:rsidDel="00000000" w:rsidP="00000000" w:rsidRDefault="00000000" w:rsidRPr="00000000" w14:paraId="0000007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Valentina Helajz, univ. spec. oec. </w:t>
        <w:br w:type="textWrapping"/>
        <w:t xml:space="preserve">e-mail: valentina.helajz@efos.hr</w:t>
        <w:br w:type="textWrapping"/>
        <w:t xml:space="preserve">Tel: +385 (0)31 22 44 00 (centrala)</w:t>
      </w:r>
    </w:p>
    <w:p w:rsidR="00000000" w:rsidDel="00000000" w:rsidP="00000000" w:rsidRDefault="00000000" w:rsidRPr="00000000" w14:paraId="0000007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Mob: +385 (0)91 2244 183</w:t>
      </w:r>
    </w:p>
    <w:p w:rsidR="00000000" w:rsidDel="00000000" w:rsidP="00000000" w:rsidRDefault="00000000" w:rsidRPr="00000000" w14:paraId="0000007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rFonts w:ascii="Roboto" w:cs="Roboto" w:eastAsia="Roboto" w:hAnsi="Roboto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5103" w:firstLine="0"/>
        <w:jc w:val="center"/>
        <w:rPr>
          <w:rFonts w:ascii="Roboto" w:cs="Roboto" w:eastAsia="Roboto" w:hAnsi="Roboto"/>
          <w:b w:val="1"/>
          <w:color w:val="000000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color w:val="000000"/>
          <w:sz w:val="22"/>
          <w:szCs w:val="22"/>
          <w:rtl w:val="0"/>
        </w:rPr>
        <w:t xml:space="preserve">DEKAN</w:t>
      </w:r>
    </w:p>
    <w:p w:rsidR="00000000" w:rsidDel="00000000" w:rsidP="00000000" w:rsidRDefault="00000000" w:rsidRPr="00000000" w14:paraId="0000007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5103" w:firstLine="0"/>
        <w:jc w:val="center"/>
        <w:rPr>
          <w:rFonts w:ascii="Roboto" w:cs="Roboto" w:eastAsia="Roboto" w:hAnsi="Roboto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5103" w:firstLine="0"/>
        <w:jc w:val="center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Prof. dr. sc. Boris Crnković</w:t>
      </w:r>
    </w:p>
    <w:p w:rsidR="00000000" w:rsidDel="00000000" w:rsidP="00000000" w:rsidRDefault="00000000" w:rsidRPr="00000000" w14:paraId="0000007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5103" w:firstLine="0"/>
        <w:jc w:val="center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276" w:lineRule="auto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276" w:lineRule="auto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276" w:lineRule="auto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276" w:lineRule="auto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Roboto" w:cs="Roboto" w:eastAsia="Roboto" w:hAnsi="Roboto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rFonts w:ascii="Roboto" w:cs="Roboto" w:eastAsia="Roboto" w:hAnsi="Roboto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5103" w:firstLine="0"/>
        <w:jc w:val="center"/>
        <w:rPr>
          <w:rFonts w:ascii="Roboto" w:cs="Roboto" w:eastAsia="Roboto" w:hAnsi="Roboto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80" w:right="0" w:firstLine="720"/>
        <w:jc w:val="both"/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760" w:right="0" w:firstLine="0"/>
        <w:jc w:val="both"/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headerReference r:id="rId15" w:type="default"/>
          <w:pgSz w:h="16820" w:w="11900" w:orient="portrait"/>
          <w:pgMar w:bottom="1426" w:top="3627" w:left="1061" w:right="1200" w:header="850" w:footer="1494"/>
          <w:pgNumType w:start="1"/>
        </w:sect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6" w:type="default"/>
      <w:type w:val="nextPage"/>
      <w:pgSz w:h="16820" w:w="11900" w:orient="portrait"/>
      <w:pgMar w:bottom="1426" w:top="1222" w:left="1061" w:right="1200" w:header="850" w:footer="149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5">
    <w:pPr>
      <w:ind w:left="3119" w:hanging="3119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-655319</wp:posOffset>
          </wp:positionH>
          <wp:positionV relativeFrom="paragraph">
            <wp:posOffset>-525144</wp:posOffset>
          </wp:positionV>
          <wp:extent cx="7534910" cy="10662920"/>
          <wp:effectExtent b="0" l="0" r="0" t="0"/>
          <wp:wrapNone/>
          <wp:docPr id="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34910" cy="1066292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6">
    <w:pPr>
      <w:ind w:left="3119" w:hanging="3119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-732789</wp:posOffset>
          </wp:positionH>
          <wp:positionV relativeFrom="paragraph">
            <wp:posOffset>-656589</wp:posOffset>
          </wp:positionV>
          <wp:extent cx="7660640" cy="10840720"/>
          <wp:effectExtent b="0" l="0" r="0" t="0"/>
          <wp:wrapNone/>
          <wp:docPr id="6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60640" cy="1084072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hr-H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rPr>
      <w:u w:val="single"/>
    </w:rPr>
  </w:style>
  <w:style w:type="paragraph" w:styleId="Body" w:customStyle="1">
    <w:name w:val="Body"/>
    <w:rPr>
      <w:rFonts w:ascii="Helvetica" w:cs="Arial Unicode MS" w:hAnsi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 w:val="1"/>
    <w:rsid w:val="005C7C51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C7C5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 w:val="1"/>
    <w:rsid w:val="005C7C51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C7C51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F24C87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  <w:bdr w:color="auto" w:space="0" w:sz="0" w:val="none"/>
      <w:lang w:eastAsia="en-GB" w:val="hr-HR"/>
    </w:rPr>
  </w:style>
  <w:style w:type="character" w:styleId="SubtitleChar" w:customStyle="1">
    <w:name w:val="Subtitle Char"/>
    <w:basedOn w:val="DefaultParagraphFont"/>
    <w:link w:val="Subtitle"/>
    <w:uiPriority w:val="11"/>
    <w:rsid w:val="00F24C87"/>
    <w:rPr>
      <w:rFonts w:ascii="Georgia" w:cs="Georgia" w:eastAsia="Georgia" w:hAnsi="Georgia"/>
      <w:i w:val="1"/>
      <w:color w:val="666666"/>
      <w:sz w:val="48"/>
      <w:szCs w:val="48"/>
      <w:bdr w:color="auto" w:space="0" w:sz="0" w:val="none"/>
      <w:lang w:eastAsia="en-GB" w:val="hr-HR"/>
    </w:rPr>
  </w:style>
  <w:style w:type="paragraph" w:styleId="ListParagraph">
    <w:name w:val="List Paragraph"/>
    <w:aliases w:val="Nabrajanje ishoda"/>
    <w:basedOn w:val="Normal"/>
    <w:link w:val="ListParagraphChar"/>
    <w:uiPriority w:val="34"/>
    <w:qFormat w:val="1"/>
    <w:rsid w:val="00F24C87"/>
    <w:pPr>
      <w:ind w:left="720"/>
      <w:contextualSpacing w:val="1"/>
    </w:pPr>
  </w:style>
  <w:style w:type="character" w:styleId="ListParagraphChar" w:customStyle="1">
    <w:name w:val="List Paragraph Char"/>
    <w:aliases w:val="Nabrajanje ishoda Char"/>
    <w:link w:val="ListParagraph"/>
    <w:uiPriority w:val="34"/>
    <w:locked w:val="1"/>
    <w:rsid w:val="00C1766B"/>
    <w:rPr>
      <w:sz w:val="24"/>
      <w:szCs w:val="24"/>
    </w:rPr>
  </w:style>
  <w:style w:type="table" w:styleId="GridTable1Light-Accent1">
    <w:name w:val="Grid Table 1 Light Accent 1"/>
    <w:basedOn w:val="TableNormal"/>
    <w:uiPriority w:val="46"/>
    <w:rsid w:val="00C1766B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</w:pPr>
    <w:rPr>
      <w:rFonts w:asciiTheme="minorHAnsi" w:cstheme="minorBidi" w:eastAsiaTheme="minorHAnsi" w:hAnsiTheme="minorHAnsi"/>
      <w:sz w:val="24"/>
      <w:szCs w:val="24"/>
      <w:bdr w:color="auto" w:space="0" w:sz="0" w:val="none"/>
    </w:rPr>
    <w:tblPr>
      <w:tblStyleRowBandSize w:val="1"/>
      <w:tblStyleColBandSize w:val="1"/>
      <w:tblBorders>
        <w:top w:color="b6d6e9" w:space="0" w:sz="4" w:themeColor="accent1" w:themeTint="000066" w:val="single"/>
        <w:left w:color="b6d6e9" w:space="0" w:sz="4" w:themeColor="accent1" w:themeTint="000066" w:val="single"/>
        <w:bottom w:color="b6d6e9" w:space="0" w:sz="4" w:themeColor="accent1" w:themeTint="000066" w:val="single"/>
        <w:right w:color="b6d6e9" w:space="0" w:sz="4" w:themeColor="accent1" w:themeTint="000066" w:val="single"/>
        <w:insideH w:color="b6d6e9" w:space="0" w:sz="4" w:themeColor="accent1" w:themeTint="000066" w:val="single"/>
        <w:insideV w:color="b6d6e9" w:space="0" w:sz="4" w:themeColor="accen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91c2de" w:space="0" w:sz="12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1c2de" w:space="0" w:sz="2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paragraph" w:styleId="NoSpacing">
    <w:name w:val="No Spacing"/>
    <w:uiPriority w:val="1"/>
    <w:qFormat w:val="1"/>
    <w:rsid w:val="005F5DE0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</w:pPr>
    <w:rPr>
      <w:rFonts w:asciiTheme="minorHAnsi" w:cstheme="minorBidi" w:eastAsiaTheme="minorEastAsia" w:hAnsiTheme="minorHAnsi"/>
      <w:sz w:val="21"/>
      <w:szCs w:val="21"/>
      <w:bdr w:color="auto" w:space="0" w:sz="0" w:val="none"/>
      <w:lang w:val="hr-HR"/>
    </w:rPr>
  </w:style>
  <w:style w:type="character" w:styleId="UnresolvedMention">
    <w:name w:val="Unresolved Mention"/>
    <w:basedOn w:val="DefaultParagraphFont"/>
    <w:uiPriority w:val="99"/>
    <w:rsid w:val="00F44E9A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forms.gle/NtPPAugWXVpSSWqBA" TargetMode="External"/><Relationship Id="rId10" Type="http://schemas.openxmlformats.org/officeDocument/2006/relationships/hyperlink" Target="https://tinyurl.com/mr2mjb5e" TargetMode="External"/><Relationship Id="rId13" Type="http://schemas.openxmlformats.org/officeDocument/2006/relationships/hyperlink" Target="https://rb.gy/t5xspv" TargetMode="External"/><Relationship Id="rId12" Type="http://schemas.openxmlformats.org/officeDocument/2006/relationships/hyperlink" Target="http://www.efos.unios.hr/nastava/programi-strucnog-osposobljavanja/program-cjelozivotnog-ucenja-upravljanje-ljudskim-potencijalima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inyurl.com/mr2mjb5e" TargetMode="External"/><Relationship Id="rId15" Type="http://schemas.openxmlformats.org/officeDocument/2006/relationships/header" Target="header2.xml"/><Relationship Id="rId14" Type="http://schemas.openxmlformats.org/officeDocument/2006/relationships/hyperlink" Target="mailto:ana.zivkovic@efos.hr" TargetMode="Externa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forms.gle/NtPPAugWXVpSSWqBA" TargetMode="External"/><Relationship Id="rId8" Type="http://schemas.openxmlformats.org/officeDocument/2006/relationships/hyperlink" Target="https://forms.gle/NtPPAugWXVpSSWqB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_rels/theme1.xml.rels><?xml version="1.0" encoding="UTF-8" standalone="yes"?>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sTFr2rOXJjVCkD73zXLz0Go26A==">CgMxLjA4AHIhMUVVTkJMWk40ZGNlaXdjMEJNMFFkVU43b3Nia1lQY2RO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2024-04-16T10:51:00Z</dcterms:created>
  <dc:creator>Valentina Helajz HP</dc:creator>
</cp:coreProperties>
</file>