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Sveučilište Josipa Jurja Strossmayera u Osijeku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Ekonomski fakultet u Osijeku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Centar za cjeloživotno učenje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objavljuje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JAVNI POZIV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za upis polaznika na program cjeloživotnog učenja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“Poduzetnička akademija – Poslovno planiranje“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 cjeloživotnog učenja “Poduzetnička akademija – Poslovno planiranje“ izvodi se u obliku interaktivne nastave u ukupnom trajanju 40 sati.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Planirani početak programa je zimski semestar akademske 2024./2025. godine. O točnom datumu početka izvođenja programa polaznici će biti informirani nakon isteka roka za prijavu a prije upisa na program.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Završetkom Programa stječe se potvrda o završenom programu cjeloživotnog učenja „Poduzetnička akademija – Poslovno planiranje“.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UVJETI UPISA: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 mogu upisati osobe, koje su završile četverogodišnje srednjoškolsko obrazovanje (osobe sa minimalno završenim 4.2. stupnjem obrazovanja (prema EKO i HKO; sva područja)). 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 cjeloživotnog učenja “Poduzetnička akademija – Poslovno planiranje'' namijenjen je svim osobama, koje razmišljaju o pokretanju poduzetničkog pothvata ili žele saznati više o ovoj tematici. Program je namijenjen i drugim osobama, koje su zainteresirane za metodologiju poslovnog planiranja i izradu poslovnog plana.  Program je osmišljen na način da za praćenje njegovog sadržaja i usvajanje znanja nisu potrebna predznanja iz ekonomskog ili drugih područja te je upravo zato i predviđena mogućnost upisa polaznika iz različitih područja. 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Upisna cijena programa iznosi 340,00 EUR po polazniku. 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Uz prijavu pristupnici obvezno prilažu: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singl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Popunjeni obrazac prijave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(objavljen na mrežnim stranicama Ekonomskog fakulteta u Osijeku).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Roboto" w:cs="Roboto" w:eastAsia="Roboto" w:hAnsi="Roboto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Obrascu je moguće pristupiti i putem poveznice: </w:t>
      </w:r>
      <w:hyperlink r:id="rId8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https://forms.gle/NtPPAugWXVpSSWqBA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09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svjedodžbe o stečenoj stručnoj spremi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09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identifikacijske isprave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09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popunjen i potpisan obrazac </w:t>
      </w:r>
      <w:hyperlink r:id="rId9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Privole za prikupljanje i obradu osobnih podataka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objavljen na mrežnim stranicama Ekonomskog fakulteta u Osijeku i uz prijavni obrazac (točka 1.). Obrascu je moguće pristupiti i putem poveznice: </w:t>
      </w:r>
      <w:hyperlink r:id="rId10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https://tinyurl.com/mr2mjb5e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Na javni poziv se pod jednakim uvjetima mogu prijaviti osobe oba spola.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Nepravovremene i nepotpune prijave neće se razmatrati.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Prijave s dokazima o ispunjavanju uvjeta  podnose se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do 31. listopada 2024. godine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putem</w:t>
      </w:r>
      <w:r w:rsidDel="00000000" w:rsidR="00000000" w:rsidRPr="00000000">
        <w:rPr>
          <w:rFonts w:ascii="Roboto" w:cs="Roboto" w:eastAsia="Roboto" w:hAnsi="Roboto"/>
          <w:color w:val="333333"/>
          <w:sz w:val="22"/>
          <w:szCs w:val="22"/>
          <w:highlight w:val="white"/>
          <w:rtl w:val="0"/>
        </w:rPr>
        <w:t xml:space="preserve"> </w:t>
      </w:r>
      <w:hyperlink r:id="rId11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obrasca za prijavu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uz obvezno učitavanje dokumentacije i navođenje traženih podataka navedenih u okviru ovog javnog poziva u obrazac prijave. 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Poveznica na obrazac za prijavu: </w:t>
      </w:r>
      <w:hyperlink r:id="rId12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https://forms.gle/NtPPAugWXVpSSWqBA</w:t>
        </w:r>
      </w:hyperlink>
      <w:r w:rsidDel="00000000" w:rsidR="00000000" w:rsidRPr="00000000">
        <w:rPr>
          <w:rFonts w:ascii="Roboto" w:cs="Roboto" w:eastAsia="Roboto" w:hAnsi="Roboto"/>
          <w:color w:val="073763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Pristupnicima prijavljenim na javni poziv smatrat će se samo osoba koja podnese pravovremenu i potpunu prijavu te ispunjava formalne uvjete iz javnog poziva.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Potpunom prijavom smatra se prijava koja sadrži sve podatke i priloge navedene u ovom pozivu.  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Dodatne obavijesti pristupnici mogu zatražiti od voditeljice programa cjeloživotnog učenja ili u Centru za cjeloživotno učenje: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Prof. dr. sc. Sunčica Oberman Peterka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Voditeljica programa cjeloživotnog učenja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e-mail: </w:t>
      </w:r>
      <w:hyperlink r:id="rId13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suncica.oberman.peterka@efos.hr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Tel: +385 (0)31 22 44 62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Mob: +385 (0)91 224 40 22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Centar za cjeloživotno učenje: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Valentina Helajz, univ. spec. oec. </w:t>
        <w:br w:type="textWrapping"/>
        <w:t xml:space="preserve">e-mail: </w:t>
      </w:r>
      <w:hyperlink r:id="rId14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valentina.helajz@efos.hr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br w:type="textWrapping"/>
        <w:t xml:space="preserve">Tel: +385 (0)31 22 44 00 (centrala)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Mob: +385 (0)91 2244 183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DEKAN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Prof. dr. sc. Boris Crnković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72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15" w:type="default"/>
          <w:pgSz w:h="16820" w:w="11900" w:orient="portrait"/>
          <w:pgMar w:bottom="1426" w:top="3627" w:left="1061" w:right="1200" w:header="850" w:footer="1494"/>
          <w:pgNumType w:start="1"/>
        </w:sect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type w:val="nextPage"/>
      <w:pgSz w:h="16820" w:w="11900" w:orient="portrait"/>
      <w:pgMar w:bottom="1426" w:top="1222" w:left="1061" w:right="1200" w:header="850" w:footer="14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-655319</wp:posOffset>
          </wp:positionH>
          <wp:positionV relativeFrom="paragraph">
            <wp:posOffset>-525144</wp:posOffset>
          </wp:positionV>
          <wp:extent cx="7534910" cy="10662920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10662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-732789</wp:posOffset>
          </wp:positionH>
          <wp:positionV relativeFrom="paragraph">
            <wp:posOffset>-656589</wp:posOffset>
          </wp:positionV>
          <wp:extent cx="7660640" cy="1084072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0640" cy="10840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" w:cs="Arial Unicode MS" w:hAnsi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7C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7C5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24C87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  <w:bdr w:color="auto" w:space="0" w:sz="0" w:val="none"/>
      <w:lang w:eastAsia="en-GB" w:val="hr-HR"/>
    </w:rPr>
  </w:style>
  <w:style w:type="character" w:styleId="SubtitleChar" w:customStyle="1">
    <w:name w:val="Subtitle Char"/>
    <w:basedOn w:val="DefaultParagraphFont"/>
    <w:link w:val="Subtitle"/>
    <w:uiPriority w:val="11"/>
    <w:rsid w:val="00F24C87"/>
    <w:rPr>
      <w:rFonts w:ascii="Georgia" w:cs="Georgia" w:eastAsia="Georgia" w:hAnsi="Georgia"/>
      <w:i w:val="1"/>
      <w:color w:val="666666"/>
      <w:sz w:val="48"/>
      <w:szCs w:val="48"/>
      <w:bdr w:color="auto" w:space="0" w:sz="0" w:val="none"/>
      <w:lang w:eastAsia="en-GB" w:val="hr-HR"/>
    </w:rPr>
  </w:style>
  <w:style w:type="paragraph" w:styleId="ListParagraph">
    <w:name w:val="List Paragraph"/>
    <w:aliases w:val="Nabrajanje ishoda"/>
    <w:basedOn w:val="Normal"/>
    <w:link w:val="ListParagraphChar"/>
    <w:uiPriority w:val="34"/>
    <w:qFormat w:val="1"/>
    <w:rsid w:val="00F24C87"/>
    <w:pPr>
      <w:ind w:left="720"/>
      <w:contextualSpacing w:val="1"/>
    </w:pPr>
  </w:style>
  <w:style w:type="character" w:styleId="ListParagraphChar" w:customStyle="1">
    <w:name w:val="List Paragraph Char"/>
    <w:aliases w:val="Nabrajanje ishoda Char"/>
    <w:link w:val="ListParagraph"/>
    <w:uiPriority w:val="34"/>
    <w:locked w:val="1"/>
    <w:rsid w:val="00C1766B"/>
    <w:rPr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C1766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4"/>
      <w:szCs w:val="24"/>
      <w:bdr w:color="auto" w:space="0" w:sz="0" w:val="none"/>
    </w:rPr>
    <w:tblPr>
      <w:tblStyleRowBandSize w:val="1"/>
      <w:tblStyleColBandSize w:val="1"/>
      <w:tblBorders>
        <w:top w:color="b6d6e9" w:space="0" w:sz="4" w:themeColor="accent1" w:themeTint="000066" w:val="single"/>
        <w:left w:color="b6d6e9" w:space="0" w:sz="4" w:themeColor="accent1" w:themeTint="000066" w:val="single"/>
        <w:bottom w:color="b6d6e9" w:space="0" w:sz="4" w:themeColor="accent1" w:themeTint="000066" w:val="single"/>
        <w:right w:color="b6d6e9" w:space="0" w:sz="4" w:themeColor="accent1" w:themeTint="000066" w:val="single"/>
        <w:insideH w:color="b6d6e9" w:space="0" w:sz="4" w:themeColor="accent1" w:themeTint="000066" w:val="single"/>
        <w:insideV w:color="b6d6e9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1c2de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1c2de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NoSpacing">
    <w:name w:val="No Spacing"/>
    <w:uiPriority w:val="1"/>
    <w:qFormat w:val="1"/>
    <w:rsid w:val="005F5DE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EastAsia" w:hAnsiTheme="minorHAnsi"/>
      <w:sz w:val="21"/>
      <w:szCs w:val="21"/>
      <w:bdr w:color="auto" w:space="0" w:sz="0" w:val="none"/>
      <w:lang w:val="hr-HR"/>
    </w:rPr>
  </w:style>
  <w:style w:type="character" w:styleId="UnresolvedMention">
    <w:name w:val="Unresolved Mention"/>
    <w:basedOn w:val="DefaultParagraphFont"/>
    <w:uiPriority w:val="99"/>
    <w:rsid w:val="00F44E9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NtPPAugWXVpSSWqBA" TargetMode="External"/><Relationship Id="rId10" Type="http://schemas.openxmlformats.org/officeDocument/2006/relationships/hyperlink" Target="https://tinyurl.com/mr2mjb5e" TargetMode="External"/><Relationship Id="rId13" Type="http://schemas.openxmlformats.org/officeDocument/2006/relationships/hyperlink" Target="http://suncica.oberman.peterka@efos.hr" TargetMode="External"/><Relationship Id="rId12" Type="http://schemas.openxmlformats.org/officeDocument/2006/relationships/hyperlink" Target="https://forms.gle/NtPPAugWXVpSSWqB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mr2mjb5e" TargetMode="External"/><Relationship Id="rId15" Type="http://schemas.openxmlformats.org/officeDocument/2006/relationships/header" Target="header2.xml"/><Relationship Id="rId14" Type="http://schemas.openxmlformats.org/officeDocument/2006/relationships/hyperlink" Target="http://valentina.helajz@efos.hr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NtPPAugWXVpSSWqBA" TargetMode="External"/><Relationship Id="rId8" Type="http://schemas.openxmlformats.org/officeDocument/2006/relationships/hyperlink" Target="https://forms.gle/NtPPAugWXVpSSWq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8VvVWO64FXi/N1d6GEv4tWRSw==">CgMxLjA4AHIhMW5OdzRNNjhjSUFrT2dUZmxfbGdINmRMNzA4Ynp0cmQz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2024-04-16T10:51:00Z</dcterms:created>
  <dc:creator>Valentina Helajz HP</dc:creator>
</cp:coreProperties>
</file>